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5CAF" w14:textId="77777777" w:rsidR="00FC3038" w:rsidRDefault="00000000">
      <w:pPr>
        <w:pStyle w:val="FirstParagraph"/>
      </w:pPr>
      <w:r>
        <w:rPr>
          <w:b/>
          <w:bCs/>
        </w:rPr>
        <w:t>Role: Associate Dean for Public Affairs and Communications</w:t>
      </w:r>
    </w:p>
    <w:p w14:paraId="32CB937F" w14:textId="77777777" w:rsidR="00FC3038" w:rsidRDefault="00000000">
      <w:r>
        <w:pict w14:anchorId="5C62FD1B">
          <v:rect id="_x0000_i1025" style="width:0;height:1.5pt" o:hralign="center" o:hrstd="t" o:hr="t"/>
        </w:pict>
      </w:r>
    </w:p>
    <w:p w14:paraId="46E63498" w14:textId="77777777" w:rsidR="00FC3038" w:rsidRDefault="00000000">
      <w:pPr>
        <w:pStyle w:val="Heading3"/>
      </w:pPr>
      <w:bookmarkStart w:id="0" w:name="ai-exposure-task-efficiency-analysis"/>
      <w:r>
        <w:rPr>
          <w:b/>
          <w:bCs/>
        </w:rPr>
        <w:t>AI Exposure &amp; Task Efficiency Analysis</w:t>
      </w:r>
    </w:p>
    <w:tbl>
      <w:tblPr>
        <w:tblStyle w:val="Table"/>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38"/>
        <w:gridCol w:w="1350"/>
        <w:gridCol w:w="2012"/>
        <w:gridCol w:w="3601"/>
      </w:tblGrid>
      <w:tr w:rsidR="00FC3038" w14:paraId="456A05F9" w14:textId="77777777" w:rsidTr="00CF332B">
        <w:trPr>
          <w:cnfStyle w:val="100000000000" w:firstRow="1" w:lastRow="0" w:firstColumn="0" w:lastColumn="0" w:oddVBand="0" w:evenVBand="0" w:oddHBand="0" w:evenHBand="0" w:firstRowFirstColumn="0" w:firstRowLastColumn="0" w:lastRowFirstColumn="0" w:lastRowLastColumn="0"/>
          <w:tblHeader/>
        </w:trPr>
        <w:tc>
          <w:tcPr>
            <w:tcW w:w="2538" w:type="dxa"/>
            <w:tcBorders>
              <w:bottom w:val="none" w:sz="0" w:space="0" w:color="auto"/>
            </w:tcBorders>
          </w:tcPr>
          <w:p w14:paraId="087C93AC" w14:textId="77777777" w:rsidR="00FC3038" w:rsidRDefault="00000000">
            <w:pPr>
              <w:pStyle w:val="Compact"/>
            </w:pPr>
            <w:r>
              <w:rPr>
                <w:b/>
                <w:bCs/>
              </w:rPr>
              <w:t>Task</w:t>
            </w:r>
          </w:p>
        </w:tc>
        <w:tc>
          <w:tcPr>
            <w:tcW w:w="1350" w:type="dxa"/>
            <w:tcBorders>
              <w:bottom w:val="none" w:sz="0" w:space="0" w:color="auto"/>
            </w:tcBorders>
          </w:tcPr>
          <w:p w14:paraId="2E39E8E7" w14:textId="77777777" w:rsidR="00FC3038" w:rsidRDefault="00000000">
            <w:pPr>
              <w:pStyle w:val="Compact"/>
            </w:pPr>
            <w:r>
              <w:rPr>
                <w:b/>
                <w:bCs/>
              </w:rPr>
              <w:t>Exposure Level</w:t>
            </w:r>
          </w:p>
        </w:tc>
        <w:tc>
          <w:tcPr>
            <w:tcW w:w="2012" w:type="dxa"/>
            <w:tcBorders>
              <w:bottom w:val="none" w:sz="0" w:space="0" w:color="auto"/>
            </w:tcBorders>
          </w:tcPr>
          <w:p w14:paraId="7EA8C154" w14:textId="77777777" w:rsidR="00FC3038" w:rsidRDefault="00000000">
            <w:pPr>
              <w:pStyle w:val="Compact"/>
            </w:pPr>
            <w:r>
              <w:rPr>
                <w:b/>
                <w:bCs/>
              </w:rPr>
              <w:t>Estimated Time Saved (%)</w:t>
            </w:r>
          </w:p>
        </w:tc>
        <w:tc>
          <w:tcPr>
            <w:tcW w:w="3601" w:type="dxa"/>
            <w:tcBorders>
              <w:bottom w:val="none" w:sz="0" w:space="0" w:color="auto"/>
            </w:tcBorders>
          </w:tcPr>
          <w:p w14:paraId="2B0DA46F" w14:textId="77777777" w:rsidR="00FC3038" w:rsidRDefault="00000000">
            <w:pPr>
              <w:pStyle w:val="Compact"/>
            </w:pPr>
            <w:r>
              <w:rPr>
                <w:b/>
                <w:bCs/>
              </w:rPr>
              <w:t>Rationale</w:t>
            </w:r>
          </w:p>
        </w:tc>
      </w:tr>
      <w:tr w:rsidR="00FC3038" w14:paraId="34A4389D" w14:textId="77777777" w:rsidTr="00CF332B">
        <w:tc>
          <w:tcPr>
            <w:tcW w:w="2538" w:type="dxa"/>
          </w:tcPr>
          <w:p w14:paraId="0F73FE85" w14:textId="77777777" w:rsidR="00FC3038" w:rsidRDefault="00000000">
            <w:pPr>
              <w:pStyle w:val="Compact"/>
            </w:pPr>
            <w:r>
              <w:t>Oversee strategic communications and public affairs programming</w:t>
            </w:r>
          </w:p>
        </w:tc>
        <w:tc>
          <w:tcPr>
            <w:tcW w:w="1350" w:type="dxa"/>
          </w:tcPr>
          <w:p w14:paraId="6FF7FEB8" w14:textId="77777777" w:rsidR="00FC3038" w:rsidRDefault="00000000">
            <w:pPr>
              <w:pStyle w:val="Compact"/>
            </w:pPr>
            <w:r>
              <w:t>E7</w:t>
            </w:r>
          </w:p>
        </w:tc>
        <w:tc>
          <w:tcPr>
            <w:tcW w:w="2012" w:type="dxa"/>
          </w:tcPr>
          <w:p w14:paraId="17F3C0D9" w14:textId="77777777" w:rsidR="00FC3038" w:rsidRDefault="00000000">
            <w:pPr>
              <w:pStyle w:val="Compact"/>
            </w:pPr>
            <w:r>
              <w:t>30–40%</w:t>
            </w:r>
          </w:p>
        </w:tc>
        <w:tc>
          <w:tcPr>
            <w:tcW w:w="3601" w:type="dxa"/>
          </w:tcPr>
          <w:p w14:paraId="7D39FCCD" w14:textId="77777777" w:rsidR="00FC3038" w:rsidRDefault="00000000">
            <w:pPr>
              <w:pStyle w:val="Compact"/>
            </w:pPr>
            <w:r>
              <w:t>AI tools can provide data-driven insights for strategic planning, media impact forecasting, and stakeholder sentiment analysis, supporting faster and more informed decision-making.</w:t>
            </w:r>
          </w:p>
        </w:tc>
      </w:tr>
      <w:tr w:rsidR="00FC3038" w14:paraId="5B662FF7" w14:textId="77777777" w:rsidTr="00CF332B">
        <w:tc>
          <w:tcPr>
            <w:tcW w:w="2538" w:type="dxa"/>
          </w:tcPr>
          <w:p w14:paraId="1B1CA77E" w14:textId="77777777" w:rsidR="00FC3038" w:rsidRDefault="00000000">
            <w:pPr>
              <w:pStyle w:val="Compact"/>
            </w:pPr>
            <w:r>
              <w:t>Coordinate media relations and act as school spokesperson</w:t>
            </w:r>
          </w:p>
        </w:tc>
        <w:tc>
          <w:tcPr>
            <w:tcW w:w="1350" w:type="dxa"/>
          </w:tcPr>
          <w:p w14:paraId="3552590D" w14:textId="77777777" w:rsidR="00FC3038" w:rsidRDefault="00000000">
            <w:pPr>
              <w:pStyle w:val="Compact"/>
            </w:pPr>
            <w:r>
              <w:t>E8</w:t>
            </w:r>
          </w:p>
        </w:tc>
        <w:tc>
          <w:tcPr>
            <w:tcW w:w="2012" w:type="dxa"/>
          </w:tcPr>
          <w:p w14:paraId="332F1E1E" w14:textId="77777777" w:rsidR="00FC3038" w:rsidRDefault="00000000">
            <w:pPr>
              <w:pStyle w:val="Compact"/>
            </w:pPr>
            <w:r>
              <w:t>25–35%</w:t>
            </w:r>
          </w:p>
        </w:tc>
        <w:tc>
          <w:tcPr>
            <w:tcW w:w="3601" w:type="dxa"/>
          </w:tcPr>
          <w:p w14:paraId="31A328EF" w14:textId="77777777" w:rsidR="00FC3038" w:rsidRDefault="00000000">
            <w:pPr>
              <w:pStyle w:val="Compact"/>
            </w:pPr>
            <w:r>
              <w:t>AI-assisted media briefings and speech-prep tools can analyze tone, anticipate reporter questions, and optimize messaging for different audiences.</w:t>
            </w:r>
          </w:p>
        </w:tc>
      </w:tr>
      <w:tr w:rsidR="00FC3038" w14:paraId="619EB5A5" w14:textId="77777777" w:rsidTr="00CF332B">
        <w:tc>
          <w:tcPr>
            <w:tcW w:w="2538" w:type="dxa"/>
          </w:tcPr>
          <w:p w14:paraId="7A4AFA15" w14:textId="77777777" w:rsidR="00FC3038" w:rsidRDefault="00000000">
            <w:pPr>
              <w:pStyle w:val="Compact"/>
            </w:pPr>
            <w:r>
              <w:t>Manage public relations initiatives and press releases</w:t>
            </w:r>
          </w:p>
        </w:tc>
        <w:tc>
          <w:tcPr>
            <w:tcW w:w="1350" w:type="dxa"/>
          </w:tcPr>
          <w:p w14:paraId="2968F24A" w14:textId="77777777" w:rsidR="00FC3038" w:rsidRDefault="00000000">
            <w:pPr>
              <w:pStyle w:val="Compact"/>
            </w:pPr>
            <w:r>
              <w:t>E2</w:t>
            </w:r>
          </w:p>
        </w:tc>
        <w:tc>
          <w:tcPr>
            <w:tcW w:w="2012" w:type="dxa"/>
          </w:tcPr>
          <w:p w14:paraId="3A23C1B2" w14:textId="77777777" w:rsidR="00FC3038" w:rsidRDefault="00000000">
            <w:pPr>
              <w:pStyle w:val="Compact"/>
            </w:pPr>
            <w:r>
              <w:t>40–50%</w:t>
            </w:r>
          </w:p>
        </w:tc>
        <w:tc>
          <w:tcPr>
            <w:tcW w:w="3601" w:type="dxa"/>
          </w:tcPr>
          <w:p w14:paraId="08CAA814" w14:textId="77777777" w:rsidR="00FC3038" w:rsidRDefault="00000000">
            <w:pPr>
              <w:pStyle w:val="Compact"/>
            </w:pPr>
            <w:r>
              <w:t>LLM-powered drafting tools can automate press release writing, media outreach, and summary generation while maintaining a consistent institutional voice.</w:t>
            </w:r>
          </w:p>
        </w:tc>
      </w:tr>
      <w:tr w:rsidR="00FC3038" w14:paraId="3E6C9944" w14:textId="77777777" w:rsidTr="00CF332B">
        <w:tc>
          <w:tcPr>
            <w:tcW w:w="2538" w:type="dxa"/>
          </w:tcPr>
          <w:p w14:paraId="20AB657E" w14:textId="77777777" w:rsidR="00FC3038" w:rsidRDefault="00000000">
            <w:pPr>
              <w:pStyle w:val="Compact"/>
            </w:pPr>
            <w:r>
              <w:t>Supervise communications, publications, and digital presence</w:t>
            </w:r>
          </w:p>
        </w:tc>
        <w:tc>
          <w:tcPr>
            <w:tcW w:w="1350" w:type="dxa"/>
          </w:tcPr>
          <w:p w14:paraId="6A61517C" w14:textId="77777777" w:rsidR="00FC3038" w:rsidRDefault="00000000">
            <w:pPr>
              <w:pStyle w:val="Compact"/>
            </w:pPr>
            <w:r>
              <w:t>E7</w:t>
            </w:r>
          </w:p>
        </w:tc>
        <w:tc>
          <w:tcPr>
            <w:tcW w:w="2012" w:type="dxa"/>
          </w:tcPr>
          <w:p w14:paraId="32800386" w14:textId="77777777" w:rsidR="00FC3038" w:rsidRDefault="00000000">
            <w:pPr>
              <w:pStyle w:val="Compact"/>
            </w:pPr>
            <w:r>
              <w:t>35–45%</w:t>
            </w:r>
          </w:p>
        </w:tc>
        <w:tc>
          <w:tcPr>
            <w:tcW w:w="3601" w:type="dxa"/>
          </w:tcPr>
          <w:p w14:paraId="741400B8" w14:textId="77777777" w:rsidR="00FC3038" w:rsidRDefault="00000000">
            <w:pPr>
              <w:pStyle w:val="Compact"/>
            </w:pPr>
            <w:r>
              <w:t>AI can automate analytics and content scheduling, provide design recommendations, and flag underperforming outreach campaigns for improvement.</w:t>
            </w:r>
          </w:p>
        </w:tc>
      </w:tr>
      <w:tr w:rsidR="00FC3038" w14:paraId="686E4716" w14:textId="77777777" w:rsidTr="00CF332B">
        <w:tc>
          <w:tcPr>
            <w:tcW w:w="2538" w:type="dxa"/>
          </w:tcPr>
          <w:p w14:paraId="67409A72" w14:textId="77777777" w:rsidR="00FC3038" w:rsidRDefault="00000000">
            <w:pPr>
              <w:pStyle w:val="Compact"/>
            </w:pPr>
            <w:r>
              <w:t>Collaborate with faculty to promote research initiatives</w:t>
            </w:r>
          </w:p>
        </w:tc>
        <w:tc>
          <w:tcPr>
            <w:tcW w:w="1350" w:type="dxa"/>
          </w:tcPr>
          <w:p w14:paraId="3471F1F7" w14:textId="77777777" w:rsidR="00FC3038" w:rsidRDefault="00000000">
            <w:pPr>
              <w:pStyle w:val="Compact"/>
            </w:pPr>
            <w:r>
              <w:t>E7</w:t>
            </w:r>
          </w:p>
        </w:tc>
        <w:tc>
          <w:tcPr>
            <w:tcW w:w="2012" w:type="dxa"/>
          </w:tcPr>
          <w:p w14:paraId="125C4F73" w14:textId="77777777" w:rsidR="00FC3038" w:rsidRDefault="00000000">
            <w:pPr>
              <w:pStyle w:val="Compact"/>
            </w:pPr>
            <w:r>
              <w:t>40–50%</w:t>
            </w:r>
          </w:p>
        </w:tc>
        <w:tc>
          <w:tcPr>
            <w:tcW w:w="3601" w:type="dxa"/>
          </w:tcPr>
          <w:p w14:paraId="7A60A386" w14:textId="77777777" w:rsidR="00FC3038" w:rsidRDefault="00000000">
            <w:pPr>
              <w:pStyle w:val="Compact"/>
            </w:pPr>
            <w:r>
              <w:t>AI research summarization and translation tools can instantly convert scholarly work into accessible public briefs or talking points.</w:t>
            </w:r>
          </w:p>
        </w:tc>
      </w:tr>
      <w:tr w:rsidR="00FC3038" w14:paraId="6DDE4A96" w14:textId="77777777" w:rsidTr="00CF332B">
        <w:tc>
          <w:tcPr>
            <w:tcW w:w="2538" w:type="dxa"/>
          </w:tcPr>
          <w:p w14:paraId="69A9F71F" w14:textId="77777777" w:rsidR="00FC3038" w:rsidRDefault="00000000">
            <w:pPr>
              <w:pStyle w:val="Compact"/>
            </w:pPr>
            <w:r>
              <w:t>Oversee alumni and public events</w:t>
            </w:r>
          </w:p>
        </w:tc>
        <w:tc>
          <w:tcPr>
            <w:tcW w:w="1350" w:type="dxa"/>
          </w:tcPr>
          <w:p w14:paraId="387A6230" w14:textId="77777777" w:rsidR="00FC3038" w:rsidRDefault="00000000">
            <w:pPr>
              <w:pStyle w:val="Compact"/>
            </w:pPr>
            <w:r>
              <w:t>E9</w:t>
            </w:r>
          </w:p>
        </w:tc>
        <w:tc>
          <w:tcPr>
            <w:tcW w:w="2012" w:type="dxa"/>
          </w:tcPr>
          <w:p w14:paraId="4A15A3ED" w14:textId="77777777" w:rsidR="00FC3038" w:rsidRDefault="00000000">
            <w:pPr>
              <w:pStyle w:val="Compact"/>
            </w:pPr>
            <w:r>
              <w:t>25–35%</w:t>
            </w:r>
          </w:p>
        </w:tc>
        <w:tc>
          <w:tcPr>
            <w:tcW w:w="3601" w:type="dxa"/>
          </w:tcPr>
          <w:p w14:paraId="3B3EA8CB" w14:textId="77777777" w:rsidR="00FC3038" w:rsidRDefault="00000000">
            <w:pPr>
              <w:pStyle w:val="Compact"/>
            </w:pPr>
            <w:r>
              <w:t>AI event platforms can automate scheduling, invitations, and post-event engagement analytics through autonomous digital agents.</w:t>
            </w:r>
          </w:p>
        </w:tc>
      </w:tr>
      <w:tr w:rsidR="00FC3038" w14:paraId="5DB61D05" w14:textId="77777777" w:rsidTr="00CF332B">
        <w:tc>
          <w:tcPr>
            <w:tcW w:w="2538" w:type="dxa"/>
          </w:tcPr>
          <w:p w14:paraId="03E04A57" w14:textId="77777777" w:rsidR="00FC3038" w:rsidRDefault="00000000">
            <w:pPr>
              <w:pStyle w:val="Compact"/>
            </w:pPr>
            <w:r>
              <w:t xml:space="preserve">Serve as main liaison with leadership and </w:t>
            </w:r>
            <w:r>
              <w:lastRenderedPageBreak/>
              <w:t>external stakeholders</w:t>
            </w:r>
          </w:p>
        </w:tc>
        <w:tc>
          <w:tcPr>
            <w:tcW w:w="1350" w:type="dxa"/>
          </w:tcPr>
          <w:p w14:paraId="4E90AA2C" w14:textId="77777777" w:rsidR="00FC3038" w:rsidRDefault="00000000">
            <w:pPr>
              <w:pStyle w:val="Compact"/>
            </w:pPr>
            <w:r>
              <w:lastRenderedPageBreak/>
              <w:t>E7/E8</w:t>
            </w:r>
          </w:p>
        </w:tc>
        <w:tc>
          <w:tcPr>
            <w:tcW w:w="2012" w:type="dxa"/>
          </w:tcPr>
          <w:p w14:paraId="1EDD272A" w14:textId="77777777" w:rsidR="00FC3038" w:rsidRDefault="00000000">
            <w:pPr>
              <w:pStyle w:val="Compact"/>
            </w:pPr>
            <w:r>
              <w:t>20–30%</w:t>
            </w:r>
          </w:p>
        </w:tc>
        <w:tc>
          <w:tcPr>
            <w:tcW w:w="3601" w:type="dxa"/>
          </w:tcPr>
          <w:p w14:paraId="25342D2F" w14:textId="77777777" w:rsidR="00FC3038" w:rsidRDefault="00000000">
            <w:pPr>
              <w:pStyle w:val="Compact"/>
            </w:pPr>
            <w:r>
              <w:t xml:space="preserve">AI meeting assistants can summarize key takeaways, </w:t>
            </w:r>
            <w:r>
              <w:lastRenderedPageBreak/>
              <w:t>generate follow-up action lists, and synthesize updates for leadership and donors.</w:t>
            </w:r>
          </w:p>
        </w:tc>
      </w:tr>
      <w:tr w:rsidR="00FC3038" w14:paraId="4C3A62B6" w14:textId="77777777" w:rsidTr="00CF332B">
        <w:tc>
          <w:tcPr>
            <w:tcW w:w="2538" w:type="dxa"/>
          </w:tcPr>
          <w:p w14:paraId="2E842475" w14:textId="77777777" w:rsidR="00FC3038" w:rsidRDefault="00000000">
            <w:pPr>
              <w:pStyle w:val="Compact"/>
            </w:pPr>
            <w:r>
              <w:lastRenderedPageBreak/>
              <w:t>Develop and protect the school’s reputation and brand narrative</w:t>
            </w:r>
          </w:p>
        </w:tc>
        <w:tc>
          <w:tcPr>
            <w:tcW w:w="1350" w:type="dxa"/>
          </w:tcPr>
          <w:p w14:paraId="1E77559A" w14:textId="77777777" w:rsidR="00FC3038" w:rsidRDefault="00000000">
            <w:pPr>
              <w:pStyle w:val="Compact"/>
            </w:pPr>
            <w:r>
              <w:t>E8</w:t>
            </w:r>
          </w:p>
        </w:tc>
        <w:tc>
          <w:tcPr>
            <w:tcW w:w="2012" w:type="dxa"/>
          </w:tcPr>
          <w:p w14:paraId="631BB827" w14:textId="77777777" w:rsidR="00FC3038" w:rsidRDefault="00000000">
            <w:pPr>
              <w:pStyle w:val="Compact"/>
            </w:pPr>
            <w:r>
              <w:t>25–40%</w:t>
            </w:r>
          </w:p>
        </w:tc>
        <w:tc>
          <w:tcPr>
            <w:tcW w:w="3601" w:type="dxa"/>
          </w:tcPr>
          <w:p w14:paraId="3974ADC0" w14:textId="77777777" w:rsidR="00FC3038" w:rsidRDefault="00000000">
            <w:pPr>
              <w:pStyle w:val="Compact"/>
            </w:pPr>
            <w:r>
              <w:t>AI-driven reputation management systems can monitor digital and social channels, identify risks, and suggest messaging adjustments in real time.</w:t>
            </w:r>
          </w:p>
        </w:tc>
      </w:tr>
      <w:tr w:rsidR="00FC3038" w14:paraId="075375E2" w14:textId="77777777" w:rsidTr="00CF332B">
        <w:tc>
          <w:tcPr>
            <w:tcW w:w="2538" w:type="dxa"/>
          </w:tcPr>
          <w:p w14:paraId="76E9B04A" w14:textId="77777777" w:rsidR="00FC3038" w:rsidRDefault="00000000">
            <w:pPr>
              <w:pStyle w:val="Compact"/>
            </w:pPr>
            <w:r>
              <w:t>Mentor and oversee communications team performance</w:t>
            </w:r>
          </w:p>
        </w:tc>
        <w:tc>
          <w:tcPr>
            <w:tcW w:w="1350" w:type="dxa"/>
          </w:tcPr>
          <w:p w14:paraId="7E1CEE5B" w14:textId="77777777" w:rsidR="00FC3038" w:rsidRDefault="00000000">
            <w:pPr>
              <w:pStyle w:val="Compact"/>
            </w:pPr>
            <w:r>
              <w:t>E7</w:t>
            </w:r>
          </w:p>
        </w:tc>
        <w:tc>
          <w:tcPr>
            <w:tcW w:w="2012" w:type="dxa"/>
          </w:tcPr>
          <w:p w14:paraId="36F1136B" w14:textId="77777777" w:rsidR="00FC3038" w:rsidRDefault="00000000">
            <w:pPr>
              <w:pStyle w:val="Compact"/>
            </w:pPr>
            <w:r>
              <w:t>20–30%</w:t>
            </w:r>
          </w:p>
        </w:tc>
        <w:tc>
          <w:tcPr>
            <w:tcW w:w="3601" w:type="dxa"/>
          </w:tcPr>
          <w:p w14:paraId="5982BB2C" w14:textId="77777777" w:rsidR="00FC3038" w:rsidRDefault="00000000">
            <w:pPr>
              <w:pStyle w:val="Compact"/>
            </w:pPr>
            <w:r>
              <w:t>AI productivity dashboards can measure output, quality, and sentiment across communication channels, improving coaching and strategic alignment.</w:t>
            </w:r>
          </w:p>
        </w:tc>
      </w:tr>
    </w:tbl>
    <w:p w14:paraId="27DE0BFC" w14:textId="77777777" w:rsidR="00FC3038" w:rsidRDefault="00000000">
      <w:r>
        <w:pict w14:anchorId="5C94CCFF">
          <v:rect id="_x0000_i1026" style="width:0;height:1.5pt" o:hralign="center" o:hrstd="t" o:hr="t"/>
        </w:pict>
      </w:r>
    </w:p>
    <w:p w14:paraId="0C7E94D2" w14:textId="77777777" w:rsidR="00FC3038" w:rsidRDefault="00000000">
      <w:pPr>
        <w:pStyle w:val="Heading3"/>
      </w:pPr>
      <w:bookmarkStart w:id="1" w:name="how-ai-can-enhance-this-role-today"/>
      <w:bookmarkEnd w:id="0"/>
      <w:r>
        <w:rPr>
          <w:b/>
          <w:bCs/>
        </w:rPr>
        <w:t>How AI Can Enhance This Role Today</w:t>
      </w:r>
    </w:p>
    <w:p w14:paraId="6F2000B2" w14:textId="77777777" w:rsidR="00FC3038" w:rsidRDefault="00000000">
      <w:pPr>
        <w:pStyle w:val="FirstParagraph"/>
      </w:pPr>
      <w:r>
        <w:t>The Associate Dean can leverage enterprise AI to gain real-time insight into public sentiment, automate content workflows, and synthesize vast data from media, research, and alumni sources. AI can help craft consistent narratives across departments, identify trending topics that align with institutional strengths, and prepare data-backed reports for university leadership. Personalized content generation tools can assist in tailoring communications for diverse audiences, from policymakers to prospective students.</w:t>
      </w:r>
    </w:p>
    <w:p w14:paraId="39C7A6A6" w14:textId="77777777" w:rsidR="00FC3038" w:rsidRDefault="00000000">
      <w:r>
        <w:pict w14:anchorId="53894AD2">
          <v:rect id="_x0000_i1027" style="width:0;height:1.5pt" o:hralign="center" o:hrstd="t" o:hr="t"/>
        </w:pict>
      </w:r>
    </w:p>
    <w:p w14:paraId="3B50FD0E" w14:textId="77777777" w:rsidR="00FC3038" w:rsidRDefault="00000000">
      <w:pPr>
        <w:pStyle w:val="Heading3"/>
      </w:pPr>
      <w:bookmarkStart w:id="2" w:name="X63830616d658cabf2457426d941bf45c6bf1ad5"/>
      <w:bookmarkEnd w:id="1"/>
      <w:r>
        <w:rPr>
          <w:b/>
          <w:bCs/>
        </w:rPr>
        <w:t>What This Role Looks Like in 2 Years (2028 Outlook)</w:t>
      </w:r>
    </w:p>
    <w:p w14:paraId="2D08D841" w14:textId="77777777" w:rsidR="00FC3038" w:rsidRDefault="00000000">
      <w:pPr>
        <w:pStyle w:val="FirstParagraph"/>
      </w:pPr>
      <w:r>
        <w:t xml:space="preserve">In 2028, the Associate Dean for Public Affairs and Communications operates as a </w:t>
      </w:r>
      <w:r>
        <w:rPr>
          <w:b/>
          <w:bCs/>
        </w:rPr>
        <w:t>strategic AI collaborator and narrative architect</w:t>
      </w:r>
      <w:r>
        <w:t>. The role focuses less on manual coordination and more on curating and validating AI-generated insights. Advanced multimodal systems summarize faculty research, predict the impact of media campaigns, and simulate potential public responses to communications before they are released.</w:t>
      </w:r>
    </w:p>
    <w:p w14:paraId="475D0B1B" w14:textId="77777777" w:rsidR="00FC3038" w:rsidRDefault="00000000">
      <w:pPr>
        <w:pStyle w:val="BodyText"/>
      </w:pPr>
      <w:r>
        <w:t xml:space="preserve">The Associate Dean leads a </w:t>
      </w:r>
      <w:r>
        <w:rPr>
          <w:b/>
          <w:bCs/>
        </w:rPr>
        <w:t>hybrid human–AI communications ecosystem</w:t>
      </w:r>
      <w:r>
        <w:t xml:space="preserve">, ensuring the School’s public voice reflects authenticity, ethics, and institutional values. They supervise AI agents that autonomously manage outreach, optimize engagement, and handle preliminary press interactions. The Associate Dean increasingly becomes a </w:t>
      </w:r>
      <w:r>
        <w:rPr>
          <w:b/>
          <w:bCs/>
        </w:rPr>
        <w:t>reputation strategist</w:t>
      </w:r>
      <w:r>
        <w:t>, blending analytics with intuition to guide leadership in a fast-paced, AI-driven media environment.</w:t>
      </w:r>
    </w:p>
    <w:p w14:paraId="577FEE50" w14:textId="77777777" w:rsidR="00FC3038" w:rsidRDefault="00000000">
      <w:r>
        <w:lastRenderedPageBreak/>
        <w:pict w14:anchorId="5508419D">
          <v:rect id="_x0000_i1028" style="width:0;height:1.5pt" o:hralign="center" o:hrstd="t" o:hr="t"/>
        </w:pict>
      </w:r>
    </w:p>
    <w:p w14:paraId="61E6554B" w14:textId="77777777" w:rsidR="00FC3038" w:rsidRDefault="00000000">
      <w:pPr>
        <w:pStyle w:val="FirstParagraph"/>
      </w:pPr>
      <w:r>
        <w:rPr>
          <w:b/>
          <w:bCs/>
        </w:rPr>
        <w:t>Exposure Key:</w:t>
      </w:r>
      <w:r>
        <w:br/>
        <w:t>E0 – No exposure</w:t>
      </w:r>
      <w:r>
        <w:br/>
        <w:t>E1 – Direct exposure</w:t>
      </w:r>
      <w:r>
        <w:br/>
        <w:t>E2 – Exposure by LLM-powered applications</w:t>
      </w:r>
      <w:r>
        <w:br/>
        <w:t>E3 – Exposure given image capabilities</w:t>
      </w:r>
      <w:r>
        <w:br/>
        <w:t>E4 – Exposure given video capabilities</w:t>
      </w:r>
      <w:r>
        <w:br/>
        <w:t>E5 – Exposure given audio capabilities</w:t>
      </w:r>
      <w:r>
        <w:br/>
        <w:t>E6 – Exposure given voice capabilities</w:t>
      </w:r>
      <w:r>
        <w:br/>
        <w:t>E7 – Exposure given advanced reasoning capabilities</w:t>
      </w:r>
      <w:r>
        <w:br/>
        <w:t>E8 – Exposure given persuasion capabilities</w:t>
      </w:r>
      <w:r>
        <w:br/>
        <w:t>E9 – Exposure given digital world action capabilities (AI Agents)</w:t>
      </w:r>
      <w:r>
        <w:br/>
        <w:t>E10 – Exposure given physical world vision capabilities (AI Vision Devices)</w:t>
      </w:r>
      <w:r>
        <w:br/>
        <w:t>E11 – Exposure given physical world action capabilities (Humanoid Robots)</w:t>
      </w:r>
      <w:bookmarkEnd w:id="2"/>
    </w:p>
    <w:sectPr w:rsidR="00FC3038">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072695D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299001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FC3038"/>
    <w:rsid w:val="00495E5C"/>
    <w:rsid w:val="00CF332B"/>
    <w:rsid w:val="00FC3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7930F"/>
  <w15:docId w15:val="{E1C3E37D-CBCE-4D61-BAEA-D745766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613</Words>
  <Characters>3500</Characters>
  <Application>Microsoft Office Word</Application>
  <DocSecurity>0</DocSecurity>
  <Lines>29</Lines>
  <Paragraphs>8</Paragraphs>
  <ScaleCrop>false</ScaleCrop>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Brian Piper</cp:lastModifiedBy>
  <cp:revision>2</cp:revision>
  <dcterms:created xsi:type="dcterms:W3CDTF">2026-01-07T16:33:00Z</dcterms:created>
  <dcterms:modified xsi:type="dcterms:W3CDTF">2026-01-08T13:43:00Z</dcterms:modified>
</cp:coreProperties>
</file>